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sz w:val="32"/>
          <w:szCs w:val="32"/>
        </w:rPr>
        <w:drawing>
          <wp:inline distB="114300" distT="114300" distL="114300" distR="114300">
            <wp:extent cx="1906425" cy="1533582"/>
            <wp:effectExtent b="0" l="0" r="0" t="0"/>
            <wp:docPr id="1" name="image1.png"/>
            <a:graphic>
              <a:graphicData uri="http://schemas.openxmlformats.org/drawingml/2006/picture">
                <pic:pic>
                  <pic:nvPicPr>
                    <pic:cNvPr id="0" name="image1.png"/>
                    <pic:cNvPicPr preferRelativeResize="0"/>
                  </pic:nvPicPr>
                  <pic:blipFill>
                    <a:blip r:embed="rId6"/>
                    <a:srcRect b="21837" l="0" r="0" t="17730"/>
                    <a:stretch>
                      <a:fillRect/>
                    </a:stretch>
                  </pic:blipFill>
                  <pic:spPr>
                    <a:xfrm>
                      <a:off x="0" y="0"/>
                      <a:ext cx="1906425" cy="153358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Estágio Supervisionado II - Licenciatura em Química</w:t>
      </w:r>
    </w:p>
    <w:p w:rsidR="00000000" w:rsidDel="00000000" w:rsidP="00000000" w:rsidRDefault="00000000" w:rsidRPr="00000000" w14:paraId="00000003">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Aluna: Pâmela Vieira Rocha </w:t>
      </w:r>
    </w:p>
    <w:p w:rsidR="00000000" w:rsidDel="00000000" w:rsidP="00000000" w:rsidRDefault="00000000" w:rsidRPr="00000000" w14:paraId="0000000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Matrícula: 20201110014</w:t>
      </w:r>
    </w:p>
    <w:p w:rsidR="00000000" w:rsidDel="00000000" w:rsidP="00000000" w:rsidRDefault="00000000" w:rsidRPr="00000000" w14:paraId="00000006">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Diário de Bordo - Aula (BNCC)</w:t>
      </w:r>
    </w:p>
    <w:p w:rsidR="00000000" w:rsidDel="00000000" w:rsidP="00000000" w:rsidRDefault="00000000" w:rsidRPr="00000000" w14:paraId="00000008">
      <w:pPr>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Estudantes da UENF debatem sobre a BNCC.</w:t>
      </w:r>
    </w:p>
    <w:p w:rsidR="00000000" w:rsidDel="00000000" w:rsidP="00000000" w:rsidRDefault="00000000" w:rsidRPr="00000000" w14:paraId="0000000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último dia 09 de abril a aula de Estágio II ministrada na UENF apontou tópicos sobre a Base Nacional Comum Curricular (BNCC), que é um documento que rege todas as escolas brasileiras, públicas ou privadas. Ou seja, todas as escolas têm que dispor dela, pois é a BNCC que irá nortear o que os alunos devem aprender em toda sua trajetória escolar.</w:t>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o encontro, entre os discentes houve certa confusão entre os conceitos de habilidades e competências. A discussão em sala esclareceu que as competências podem ser vistas como as metas que o aluno precisa alcançar, enquanto que as habilidades podem ser entendidas como os meios que serão desenvolvidos para que ele consiga atingir aquela dada competência a longo prazo. Sendo assim, papel da escola e do professor planejar e organizar seus conteúdos para que consigam, ao final do ano letivo, ter atingido todas as competências, ou a maioria delas.</w:t>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Entretanto, foi trazido também como tópico de discussão a realidade que os professores enfrentam ao não conseguirem aplicar, de forma completa, tudo que uma habilidade propõe, como a </w:t>
      </w:r>
      <w:r w:rsidDel="00000000" w:rsidR="00000000" w:rsidRPr="00000000">
        <w:rPr>
          <w:rFonts w:ascii="Calibri" w:cs="Calibri" w:eastAsia="Calibri" w:hAnsi="Calibri"/>
          <w:sz w:val="24"/>
          <w:szCs w:val="24"/>
          <w:rtl w:val="0"/>
        </w:rPr>
        <w:t xml:space="preserve">EF09CI06 (classificar as radiações eletromagnéticas por suas frequências, fontes e aplicações, discutindo e avaliando as implicações de seu uso em controle remoto, telefone celular, raio X, forno de micro-ondas, fotocélulas etc.) por exemplo.</w:t>
      </w:r>
    </w:p>
    <w:p w:rsidR="00000000" w:rsidDel="00000000" w:rsidP="00000000" w:rsidRDefault="00000000" w:rsidRPr="00000000" w14:paraId="00000010">
      <w:pPr>
        <w:jc w:val="both"/>
        <w:rPr>
          <w:rFonts w:ascii="Calibri" w:cs="Calibri" w:eastAsia="Calibri" w:hAnsi="Calibri"/>
          <w:color w:val="282828"/>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Tendo em vista, que geralmente a carga horária é pequena e essa habilidade -como outras- abrangem conceitos da química, física e tecnológicos também, acaba sendo difícil do professor dar conta de ministrar todos esses conceitos, sendo primordial uma abordagem interdisciplinar, para que assim essa habilidade seja desenvolvida por completo, havendo até uma significância maior no aprendizado desse aluno.</w:t>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